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4" w:rsidRPr="00657B68" w:rsidRDefault="00D234C4" w:rsidP="004672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68">
        <w:rPr>
          <w:rFonts w:ascii="Times New Roman" w:hAnsi="Times New Roman" w:cs="Times New Roman"/>
          <w:b/>
          <w:sz w:val="32"/>
          <w:szCs w:val="32"/>
        </w:rPr>
        <w:t>МЕРОПРИЯТИЯ, ВКЛЮЧАЕМЫЕ</w:t>
      </w:r>
    </w:p>
    <w:p w:rsidR="004D5C99" w:rsidRPr="00657B68" w:rsidRDefault="00D234C4" w:rsidP="004672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68">
        <w:rPr>
          <w:rFonts w:ascii="Times New Roman" w:hAnsi="Times New Roman" w:cs="Times New Roman"/>
          <w:b/>
          <w:sz w:val="32"/>
          <w:szCs w:val="32"/>
        </w:rPr>
        <w:t>В ПЛАТУ</w:t>
      </w:r>
      <w:r w:rsidR="004D5C99" w:rsidRPr="00657B68">
        <w:rPr>
          <w:rFonts w:ascii="Times New Roman" w:hAnsi="Times New Roman" w:cs="Times New Roman"/>
          <w:b/>
          <w:sz w:val="32"/>
          <w:szCs w:val="32"/>
        </w:rPr>
        <w:t xml:space="preserve"> ЗА ТЕХНОЛОГИЧЕСКОЕ ПРИСОЕДИНЕНИЕ </w:t>
      </w:r>
    </w:p>
    <w:p w:rsidR="00D234C4" w:rsidRPr="004D5C99" w:rsidRDefault="00854C3C" w:rsidP="00467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margin-left:326.6pt;margin-top:227.9pt;width:169.45pt;height:90.6pt;z-index:251671552" arcsize="10923f" strokeweight="2pt">
            <v:textbox style="mso-next-textbox:#_x0000_s1039">
              <w:txbxContent>
                <w:p w:rsidR="00DE736C" w:rsidRPr="00C16156" w:rsidRDefault="00DE736C" w:rsidP="00DE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Новое строительство</w:t>
                  </w:r>
                </w:p>
                <w:p w:rsidR="00DE736C" w:rsidRPr="00C16156" w:rsidRDefault="00DE736C" w:rsidP="00DE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заявителей, </w:t>
                  </w:r>
                  <w:proofErr w:type="spellStart"/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энергопринимающие</w:t>
                  </w:r>
                  <w:proofErr w:type="spellEnd"/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устройства</w:t>
                  </w:r>
                  <w:r w:rsidR="0085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которых</w:t>
                  </w: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мощностью </w:t>
                  </w: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более 150 кВт</w:t>
                  </w:r>
                </w:p>
              </w:txbxContent>
            </v:textbox>
          </v:roundrect>
        </w:pict>
      </w:r>
      <w:r w:rsidR="00821C4B" w:rsidRPr="00821C4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3.05pt;margin-top:62.7pt;width:0;height:50.3pt;z-index:251660288" o:connectortype="straight" strokeweight="1.25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-63.05pt;margin-top:113pt;width:176.2pt;height:92pt;z-index:251663360" arcsize="10923f" strokecolor="black [3213]" strokeweight="2pt">
            <v:textbox style="mso-next-textbox:#_x0000_s1031">
              <w:txbxContent>
                <w:p w:rsidR="00467244" w:rsidRPr="00467244" w:rsidRDefault="00467244" w:rsidP="0046724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"/>
                      <w:szCs w:val="4"/>
                      <w:u w:val="single"/>
                    </w:rPr>
                  </w:pPr>
                </w:p>
                <w:p w:rsidR="00982D87" w:rsidRPr="00467244" w:rsidRDefault="004D5C99" w:rsidP="0046724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22E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Организационные мероприятия</w:t>
                  </w:r>
                </w:p>
              </w:txbxContent>
            </v:textbox>
          </v:roundrect>
        </w:pict>
      </w:r>
      <w:r w:rsidR="00821C4B" w:rsidRPr="00821C4B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0" type="#_x0000_t32" style="position:absolute;margin-left:452.1pt;margin-top:60.4pt;width:0;height:52.6pt;z-index:251662336" o:connectortype="straight" strokeweight="1.25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128.5pt;margin-top:113pt;width:367.4pt;height:92pt;z-index:251664384" arcsize="10923f" strokecolor="black [3213]" strokeweight="2pt">
            <v:textbox style="mso-next-textbox:#_x0000_s1032">
              <w:txbxContent>
                <w:p w:rsidR="00467244" w:rsidRPr="00467244" w:rsidRDefault="004D5C99" w:rsidP="00467244">
                  <w:pPr>
                    <w:spacing w:after="0" w:line="240" w:lineRule="auto"/>
                    <w:ind w:hanging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22E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Мероприятия по строительству «последней мили»</w:t>
                  </w:r>
                  <w:r w:rsidR="0046724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467244" w:rsidRPr="004672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технических условий сетевой организацией, включая разработку сетевой организацией проектной документации согласно обязательствам, предусмотренным техническими условиями, и осуществление сетевой организац</w:t>
                  </w:r>
                  <w:r w:rsidR="004672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ией мероприятий по подключению у</w:t>
                  </w:r>
                  <w:r w:rsidR="00467244" w:rsidRPr="004672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стройств под действие аппаратуры противоаварийной и режимной автоматики </w:t>
                  </w:r>
                </w:p>
                <w:p w:rsidR="004D5C99" w:rsidRPr="00422EDF" w:rsidRDefault="004D5C99" w:rsidP="00D2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  <w:r w:rsidR="00821C4B" w:rsidRPr="00821C4B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6" style="position:absolute;margin-left:3.15pt;margin-top:8.65pt;width:436pt;height:89pt;z-index:251658240" strokecolor="black [3213]" strokeweight="2pt">
            <v:textbox style="mso-next-textbox:#_x0000_s1026">
              <w:txbxContent>
                <w:p w:rsidR="004D5C99" w:rsidRDefault="004D5C99" w:rsidP="006A0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5C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Плата за технологическое присоединение </w:t>
                  </w:r>
                  <w:r w:rsidR="006A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 электрическим сетям посредством применения стандартизированных тарифных ставок и ставок за единицу максимальной мощности </w:t>
                  </w:r>
                  <w:proofErr w:type="spellStart"/>
                  <w:r w:rsidR="006A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энергопринимающих</w:t>
                  </w:r>
                  <w:proofErr w:type="spellEnd"/>
                  <w:r w:rsidR="006A0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устройств с максимальной мощностью </w:t>
                  </w:r>
                </w:p>
                <w:p w:rsidR="006A0FFE" w:rsidRPr="004D5C99" w:rsidRDefault="006A0FFE" w:rsidP="006A0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менее 8900 кВт и на уровне напряжения менее 35 кВ</w:t>
                  </w:r>
                </w:p>
              </w:txbxContent>
            </v:textbox>
          </v: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216.05pt;margin-top:432.6pt;width:117.3pt;height:79.05pt;flip:x;z-index:251699200" o:connectortype="straight" strokecolor="#c00000" strokeweight="4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52pt;margin-top:392.2pt;width:50.15pt;height:40.4pt;flip:y;z-index:251696128" o:connectortype="straight" strokecolor="#c00000" strokeweight="4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52pt;margin-top:392.2pt;width:50.15pt;height:40.4pt;z-index:251697152" o:connectortype="straight" strokecolor="#c00000" strokeweight="4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224pt;margin-top:432.6pt;width:109.2pt;height:85.7pt;z-index:251698176" o:connectortype="straight" strokecolor="#c00000" strokeweight="4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275.55pt;margin-top:205.05pt;width:0;height:194.2pt;z-index:251694080" o:connectortype="straight" strokeweight="1.25pt">
            <v:stroke dashstyle="longDash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275.55pt;margin-top:532.15pt;width:.05pt;height:50.8pt;z-index:251689984" o:connectortype="straight" strokeweight="4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230.45pt;margin-top:399.2pt;width:96.15pt;height:132.8pt;z-index:251687936" arcsize="10923f" strokeweight="2pt">
            <v:textbox style="mso-next-textbox:#_x0000_s1056">
              <w:txbxContent>
                <w:p w:rsidR="00AA5229" w:rsidRPr="00AA5229" w:rsidRDefault="00AA5229" w:rsidP="00E4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43BFF" w:rsidRPr="00AA5229" w:rsidRDefault="00E43BFF" w:rsidP="00E4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Новое  </w:t>
                  </w:r>
                  <w:proofErr w:type="spellStart"/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стоительство</w:t>
                  </w:r>
                  <w:proofErr w:type="spellEnd"/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чьи </w:t>
                  </w:r>
                  <w:proofErr w:type="spellStart"/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энергопринимающие</w:t>
                  </w:r>
                  <w:proofErr w:type="spellEnd"/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устройства </w:t>
                  </w:r>
                </w:p>
                <w:p w:rsidR="00E43BFF" w:rsidRPr="00AA5229" w:rsidRDefault="00E43BFF" w:rsidP="00E4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не более </w:t>
                  </w:r>
                </w:p>
                <w:p w:rsidR="00E43BFF" w:rsidRPr="00AA5229" w:rsidRDefault="00E43BFF" w:rsidP="00E4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A52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150 кВт</w:t>
                  </w:r>
                </w:p>
                <w:p w:rsidR="00E43BFF" w:rsidRDefault="00E43BFF" w:rsidP="00AA52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124.15pt;margin-top:399.2pt;width:99.85pt;height:23.7pt;z-index:251685888" arcsize="10923f" strokeweight="2pt">
            <v:textbox style="mso-next-textbox:#_x0000_s1054">
              <w:txbxContent>
                <w:p w:rsidR="00982D87" w:rsidRPr="00C16156" w:rsidRDefault="00982D87" w:rsidP="00982D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Реконструкция</w:t>
                  </w:r>
                </w:p>
                <w:p w:rsidR="00982D87" w:rsidRDefault="00982D87"/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78.55pt;margin-top:205.05pt;width:0;height:194.2pt;z-index:251695104" o:connectortype="straight" strokeweight="1.25pt">
            <v:stroke dashstyle="longDash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178.5pt;margin-top:422.9pt;width:.05pt;height:159.75pt;z-index:251688960" o:connectortype="straight" strokeweight="4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-53.7pt;margin-top:267.75pt;width:20.3pt;height:0;z-index:251666432" o:connectortype="straight" strokeweight="1.25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-55.4pt;margin-top:205.05pt;width:1.7pt;height:169.4pt;flip:x;z-index:251665408" o:connectortype="straight" strokeweight="1.25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-55.4pt;margin-top:374.45pt;width:22pt;height:0;z-index:251668480" o:connectortype="straight" strokeweight="1.25p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margin-left:-33.4pt;margin-top:326.15pt;width:146.55pt;height:96.75pt;z-index:251669504" arcsize="10923f" strokeweight="2pt">
            <v:textbox style="mso-next-textbox:#_x0000_s1037">
              <w:txbxContent>
                <w:p w:rsidR="00D234C4" w:rsidRPr="00C16156" w:rsidRDefault="00D234C4" w:rsidP="00D234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сетевой организацией выполнения заявителем технических</w:t>
                  </w:r>
                  <w:r w:rsidRPr="00D23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условий</w:t>
                  </w:r>
                </w:p>
                <w:p w:rsidR="00654D99" w:rsidRDefault="00654D99" w:rsidP="00D234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4D99" w:rsidRPr="00D234C4" w:rsidRDefault="00654D99" w:rsidP="00D234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821C4B" w:rsidRPr="00821C4B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32" style="position:absolute;margin-left:439.15pt;margin-top:59.55pt;width:12.95pt;height:.05pt;z-index:251661312" o:connectortype="straight" strokeweight="1.25pt"/>
        </w:pict>
      </w:r>
      <w:r w:rsidR="00821C4B" w:rsidRPr="00821C4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-13.05pt;margin-top:61.95pt;width:16.2pt;height:0;flip:x;z-index:251659264" o:connectortype="straight" strokeweight="1.25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-33.4pt;margin-top:227.9pt;width:146.55pt;height:79.6pt;z-index:251667456" arcsize="10923f" strokecolor="black [3213]" strokeweight="2pt">
            <v:textbox style="mso-next-textbox:#_x0000_s1035">
              <w:txbxContent>
                <w:p w:rsidR="00D234C4" w:rsidRPr="00D234C4" w:rsidRDefault="00D234C4" w:rsidP="00D234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сетевой организацией технических</w:t>
                  </w:r>
                  <w:r w:rsidRPr="00D23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условий заявителю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-73.2pt;margin-top:665.95pt;width:569.1pt;height:58.5pt;z-index:251692032" strokecolor="white [3212]" strokeweight="0">
            <v:textbox>
              <w:txbxContent>
                <w:p w:rsidR="00657B68" w:rsidRPr="00467244" w:rsidRDefault="00657B68" w:rsidP="00657B68">
                  <w:pPr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467244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Мероприятия по технологическому присоединению определены согласно Методическим указаниям по определению размера платы за технологическое присоединение к электрическим сетям, утвержденным приказом ФАС России от 29.08.2017 № 1135/17.</w:t>
                  </w:r>
                </w:p>
              </w:txbxContent>
            </v:textbox>
          </v: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margin-left:339.35pt;margin-top:587.9pt;width:135.5pt;height:1in;z-index:251682816" arcsize="10923f" strokeweight="2pt">
            <v:textbox style="mso-next-textbox:#_x0000_s1051">
              <w:txbxContent>
                <w:p w:rsidR="00982D87" w:rsidRPr="00C16156" w:rsidRDefault="00982D87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 распределительных трансформаторных подстанций</w:t>
                  </w:r>
                </w:p>
                <w:p w:rsidR="00E43BFF" w:rsidRPr="00C16156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43BFF" w:rsidRPr="00982D87" w:rsidRDefault="00E43BFF" w:rsidP="0098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474.85pt;margin-top:543pt;width:6.75pt;height:.05pt;z-index:251681792" o:connectortype="straigh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margin-left:339.35pt;margin-top:326.15pt;width:136.35pt;height:60.15pt;z-index:251677696" arcsize="10923f" strokeweight="2pt">
            <v:textbox style="mso-next-textbox:#_x0000_s1046">
              <w:txbxContent>
                <w:p w:rsidR="00DE736C" w:rsidRPr="00C16156" w:rsidRDefault="00DE736C" w:rsidP="00DE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 воздушных линий</w:t>
                  </w:r>
                </w:p>
                <w:p w:rsidR="00DE736C" w:rsidRPr="00C16156" w:rsidRDefault="00DE736C" w:rsidP="00DE73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электропередачи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margin-left:339.35pt;margin-top:392.2pt;width:135.5pt;height:61pt;z-index:251678720" arcsize="10923f" strokeweight="2pt">
            <v:textbox style="mso-next-textbox:#_x0000_s1047">
              <w:txbxContent>
                <w:p w:rsidR="00EF1F7C" w:rsidRPr="00C16156" w:rsidRDefault="00EF1F7C" w:rsidP="00EF1F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 кабельных линий электропередачи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margin-left:339.35pt;margin-top:458.3pt;width:135.5pt;height:53.35pt;z-index:251679744" arcsize="10923f" strokeweight="2pt">
            <v:textbox style="mso-next-textbox:#_x0000_s1048">
              <w:txbxContent>
                <w:p w:rsidR="00EF1F7C" w:rsidRPr="00C16156" w:rsidRDefault="00EF1F7C" w:rsidP="00EF1F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 пунктов секционирования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margin-left:339.35pt;margin-top:518.45pt;width:136.35pt;height:58.45pt;z-index:251680768" arcsize="10923f" strokeweight="2pt">
            <v:textbox style="mso-next-textbox:#_x0000_s1049">
              <w:txbxContent>
                <w:p w:rsidR="00EF1F7C" w:rsidRPr="00C16156" w:rsidRDefault="00EF1F7C" w:rsidP="00EF1F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строительство трансформаторных подстанций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481.6pt;margin-top:318.35pt;width:.05pt;height:304.95pt;z-index:251673600" o:connectortype="straight" strokeweight="1.25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407.95pt;margin-top:205pt;width:0;height:22.9pt;z-index:251672576" o:connectortype="straight">
            <v:stroke endarrow="block"/>
          </v:shape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roundrect id="_x0000_s1061" style="position:absolute;margin-left:135.2pt;margin-top:582.8pt;width:191.4pt;height:77.1pt;z-index:251691008" arcsize="10923f" strokeweight="2pt">
            <v:textbox style="mso-next-textbox:#_x0000_s1061">
              <w:txbxContent>
                <w:p w:rsidR="00C16156" w:rsidRPr="00C16156" w:rsidRDefault="00C16156" w:rsidP="00E43BFF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43BFF" w:rsidRPr="00C16156" w:rsidRDefault="00E43BFF" w:rsidP="00E43B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1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Тарифы на услуги по передаче электрической энергии</w:t>
                  </w:r>
                </w:p>
              </w:txbxContent>
            </v:textbox>
          </v:roundrect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74.85pt;margin-top:623.45pt;width:6.75pt;height:0;z-index:251683840" o:connectortype="straight" strokeweight="1.25p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474.85pt;margin-top:476.9pt;width:6.75pt;height:.05pt;flip:x;z-index:251676672" o:connectortype="straigh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474.85pt;margin-top:422.75pt;width:6.75pt;height:.05pt;flip:x;z-index:251675648" o:connectortype="straight"/>
        </w:pict>
      </w:r>
      <w:r w:rsidR="00821C4B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474.85pt;margin-top:361.75pt;width:6.75pt;height:.05pt;flip:x;z-index:251674624" o:connectortype="straight"/>
        </w:pict>
      </w:r>
    </w:p>
    <w:sectPr w:rsidR="00D234C4" w:rsidRPr="004D5C99" w:rsidSect="00657B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5C99"/>
    <w:rsid w:val="00006822"/>
    <w:rsid w:val="00166F19"/>
    <w:rsid w:val="001B1C26"/>
    <w:rsid w:val="00422EDF"/>
    <w:rsid w:val="00467244"/>
    <w:rsid w:val="00471829"/>
    <w:rsid w:val="004D5C99"/>
    <w:rsid w:val="0064117F"/>
    <w:rsid w:val="00654D99"/>
    <w:rsid w:val="00657B68"/>
    <w:rsid w:val="006A0FFE"/>
    <w:rsid w:val="008165C4"/>
    <w:rsid w:val="00821C4B"/>
    <w:rsid w:val="00854C3C"/>
    <w:rsid w:val="00883AF1"/>
    <w:rsid w:val="009314F2"/>
    <w:rsid w:val="00956A2D"/>
    <w:rsid w:val="00982D87"/>
    <w:rsid w:val="009B42FF"/>
    <w:rsid w:val="00AA5229"/>
    <w:rsid w:val="00AF49F9"/>
    <w:rsid w:val="00C16156"/>
    <w:rsid w:val="00C32339"/>
    <w:rsid w:val="00D234C4"/>
    <w:rsid w:val="00DA40FC"/>
    <w:rsid w:val="00DE736C"/>
    <w:rsid w:val="00E15558"/>
    <w:rsid w:val="00E43BFF"/>
    <w:rsid w:val="00E76E3B"/>
    <w:rsid w:val="00EA62CB"/>
    <w:rsid w:val="00EF1F7C"/>
    <w:rsid w:val="00F6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41"/>
        <o:r id="V:Rule24" type="connector" idref="#_x0000_s1044"/>
        <o:r id="V:Rule25" type="connector" idref="#_x0000_s1034"/>
        <o:r id="V:Rule26" type="connector" idref="#_x0000_s1042"/>
        <o:r id="V:Rule27" type="connector" idref="#_x0000_s1033"/>
        <o:r id="V:Rule28" type="connector" idref="#_x0000_s1036"/>
        <o:r id="V:Rule29" type="connector" idref="#_x0000_s1028"/>
        <o:r id="V:Rule30" type="connector" idref="#_x0000_s1071"/>
        <o:r id="V:Rule31" type="connector" idref="#_x0000_s1045"/>
        <o:r id="V:Rule32" type="connector" idref="#_x0000_s1052"/>
        <o:r id="V:Rule33" type="connector" idref="#_x0000_s1040"/>
        <o:r id="V:Rule34" type="connector" idref="#_x0000_s1068"/>
        <o:r id="V:Rule35" type="connector" idref="#_x0000_s1050"/>
        <o:r id="V:Rule36" type="connector" idref="#_x0000_s1067"/>
        <o:r id="V:Rule37" type="connector" idref="#_x0000_s1066"/>
        <o:r id="V:Rule38" type="connector" idref="#_x0000_s1027"/>
        <o:r id="V:Rule39" type="connector" idref="#_x0000_s1030"/>
        <o:r id="V:Rule40" type="connector" idref="#_x0000_s1069"/>
        <o:r id="V:Rule41" type="connector" idref="#_x0000_s1058"/>
        <o:r id="V:Rule42" type="connector" idref="#_x0000_s1029"/>
        <o:r id="V:Rule43" type="connector" idref="#_x0000_s1057"/>
        <o:r id="V:Rule4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ПЭС</cp:lastModifiedBy>
  <cp:revision>6</cp:revision>
  <dcterms:created xsi:type="dcterms:W3CDTF">2018-01-31T18:02:00Z</dcterms:created>
  <dcterms:modified xsi:type="dcterms:W3CDTF">2018-02-01T07:07:00Z</dcterms:modified>
</cp:coreProperties>
</file>